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15" w:type="dxa"/>
        <w:tblInd w:w="-1281" w:type="dxa"/>
        <w:tblLook w:val="04A0" w:firstRow="1" w:lastRow="0" w:firstColumn="1" w:lastColumn="0" w:noHBand="0" w:noVBand="1"/>
      </w:tblPr>
      <w:tblGrid>
        <w:gridCol w:w="710"/>
        <w:gridCol w:w="1133"/>
        <w:gridCol w:w="709"/>
        <w:gridCol w:w="7229"/>
        <w:gridCol w:w="567"/>
        <w:gridCol w:w="567"/>
      </w:tblGrid>
      <w:tr w:rsidR="00A63FC6" w:rsidRPr="00A63FC6" w14:paraId="7D217B16" w14:textId="77777777" w:rsidTr="00A63FC6">
        <w:trPr>
          <w:trHeight w:val="6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BB800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ECF96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E8370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2047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技术参数要求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0D4C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F0939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</w:tr>
      <w:tr w:rsidR="00A63FC6" w:rsidRPr="00A63FC6" w14:paraId="79DB0360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C01B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A93BD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外网边界路由器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26D5C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A4900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1、主控板、业务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板完全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物理分离，主控板、业务板分布在不同的物理槽位； 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2、整机主控插槽2个，电源插槽2个，业务插槽2个，业务子卡插槽16个；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3、交换容量≥140Tbps，包转发率≥22000Mpps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4、支持高速同步串口、E1/T1、FE、GE、10GE、40GE、155M/622M/2.5G POS、CPOS、155M/622M ATM等广域网接口；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5、配置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PPPoE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、L2TP、Portal等接入安全认证功能，配置防火墙功能，可提供状态检测、URL过滤、SSL VPN等多种安全特性；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6、支持OSPF、OSPFv3、ISIS、ISISv6、BGP、BGP4+的MD5认证功能。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7、为提高设备软件稳定性及可靠性，主备倒换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时业务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不中断，需要支持NSR功能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8、配置广域网范围视频传输优化功能，自动实现资源预留，保障高清视频会议业务开展；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9、单台设备配置：单主控、冗余电源、1张独立交换网板，万兆SFP+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光口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≥6个，千兆以太网光电复用接口≥16个；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10、提供IPv6 Ready认证证书复印件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F5206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AA5E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13D6B903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D7B20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6134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核心交换机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2D4EB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F0AB8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1、整机主控引擎插槽2个，业务插槽6个，系统电源槽位4个，单台实际配置2个引擎、2个电源，单台配置48个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千兆电口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、48个万兆光口，5米10G堆叠线缆1根（含两端光模块）；（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 交换容量≥300Tbps，包转发率≥50000Mpps；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3、 以太网支持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千兆电口，千兆光口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，万兆光口、万兆电，25G端口、40G端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口、100G端口，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4、 支持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openflow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 支持支持IPv6静态路由、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RIPng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、OSPF v3、BGP4+ 等路由协议；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6、 支持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虚多技术（1:N），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7、 为保证设备可靠性，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需支持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双引擎快速倒换，主备切换时候板内转发无丢包;支持热补丁功能，在线进行补丁升级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B1C66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D29BA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2E373281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465E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64981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准入控制网关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E93A1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2896A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1、支持主控板、业务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板完全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物理分离，主控板、业务板分布在不同的物理槽位；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2、整机主控插槽2个，电源插槽2个，独立交换插槽2个，业务子卡插槽16个；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3、交换容量≥120Tbps，包转发率≥12000Mpps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4、为保障整网用户认证安全，要求设备支持安全接入能力，支持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PPPoE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、L2TP、Portal等接入安全认证功能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5、单台设备配置：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冗余双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引擎、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冗余双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电源，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双独立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交换网板，配置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万兆光口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≥4个；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6、为保障网络安全，设备支持防攻击能力，包括：flood（泛洪攻击）、scan（扫描攻击）、signature（单包攻击）、ICMP flood攻击、Port scan攻击、Smurf攻击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7、提供IPv6 Ready认证证书复印件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E8027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70713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02568D88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94719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94175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网管区交换机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E1E5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6F778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1、配置千兆GE端口48个，配置10G SFP+光接口4个；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2、交换容量≥756Gbps，转发性能≥252Mpps；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3、要求支持静态路由、RIP/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RIPng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、OSPFv2/OSPFv3等三层路由协议；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4、支持组播VLAN、PIM Snooping、IGMP Snooping v1/v2/v3、远程端口镜像、支持端口下的环路检测功能；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5、支持ipv6，支持1对1、1对多、多对1和基于流的镜像；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71F1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FD8A1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42E78B87" w14:textId="77777777" w:rsidTr="00A63FC6">
        <w:trPr>
          <w:trHeight w:val="600"/>
        </w:trPr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04EC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B2739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GPON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C9B03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中兴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38BBF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1、单台设备支持16-32个GPON PON口的模块化PON设备，兼容EPON/10GE PON、GPON OLT机框满，单个PON板是16个PON口及满配光模块。                                           2、PON光模块要求PX20+/Class C+自适应，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满配业务槽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位GPON板，配置主控上联板及单模2个10km/10GE上联模块，双电源（同时支持交直流电源接入）。   配置PON模块3块、配置网管系统。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4E711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1585D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3B288D85" w14:textId="77777777" w:rsidTr="00A63FC6">
        <w:trPr>
          <w:trHeight w:val="600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0862C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819E8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ONU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69D8A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中兴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6A32E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1、GPON型HGU型，光接口：SC/PC；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GPON传输速率：1.25Gb/s对称（上下行），以太网口：1个GE+3个FE，支持1000BASE-PX20+光接口，GPON传输速率：2.5Gb/s对称（上下行），以太网口：1个GE+3个FE，支持C++光接口；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支持IGMP Snooping和可控主播；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2、接收灵敏度-27dBm，输出光功率：最小0dBm，最大+4dBm；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 xml:space="preserve">遵循IEEE802.3-2005 1000BASE-PX20+标准协议，支持以太网自协商和 MDI/MDIX 自动探测功能，内置二层交换机，WAN口支持 DHCP 和静态 IP，Router 模式支持 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PPPoE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/DHCP/静态 IP 等连接方式，支持 Internet、VoIP、IPTV、TR069 等服务，LAN口支持 DHCP 和静态 IP，支持NAT and NAPT地址解析协议，支持Ethernet OAM协议，符合 TR-069 标准，支持网页，CLI，Telnet管理方式，支持告警上报及性能监测；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F2DB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7788C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3900A0FA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9FF0F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AB0D2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分布式准入控制网关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E6857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5BBB4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1、配置千兆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路由光口2个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；配置千兆三层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路由电口3个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；配置千兆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二层电口20个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；配置USB2.0接口1；扩展槽位数4个；内存1G；支持内置电源冗余（非RPS电源）；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2、冗余电源支持热插拔（模块化），配置USB接口1个，可用于零配置上线。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3、包转发率≥3Mpps；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4、支持静态路由、RIP(V1/V2)、OSPF等多种路由协议，支持DHCP Relay 、DHCP Server，支持NAT，支持多种NAT ALG，包括FTP、H.323、DNS等，支持QoS、H-QoS；支持RIPv1/v2、MPLS VPN、BGPv4、BGP4+、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IPSec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 VPN等路由协议；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5、支持设备虚拟化（多虚一）技术，支持链路虚拟化技术，实现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极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简广域网部署；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6、支持对系统软硬部件状态进行监控，出现特定事件后能够无感知自动调整网络设备业务和控制策略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CA05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15A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67A99EC5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C739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F007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万兆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多模光模块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6E84E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AECF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1、万兆LC接口模块（62.5/125μm：33米；50/125μm：66米；模态带宽为2000MHz•km时传输300米），适用于SFP+接口；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2、与核心交换机同一品牌。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1170F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8ECF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A63FC6" w:rsidRPr="00A63FC6" w14:paraId="2354AA01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CEA4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438D3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万单单模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光模块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4D5E3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E3A22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1、万兆LC接口模块（1310nm），10km，适用于SFP+接口；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2、与核心交换机同一品牌。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0DEE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4CBD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A63FC6" w:rsidRPr="00A63FC6" w14:paraId="485C6274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ABCD0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A1FDF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千兆单模光模块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A39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12F05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1、1000BASE-LX mini GBIC 转换模块（1310nm），10km；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2、与核心交换机同一品牌。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CE2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61A51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  <w:tr w:rsidR="00A63FC6" w:rsidRPr="00A63FC6" w14:paraId="3262C822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9CB7E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61F7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运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维系统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+安全认证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AF542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FA51D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1、管理的节点数可达15000个。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实配2000个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用户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管控及50个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网络设备管理软件授权；                                                                               2、支持IP拓扑、二层拓扑、自定义拓扑视图（支持网络区域的任意划分、命名、拖拽、折叠和展开）、全景拓扑、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Vxlan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拓扑、邻居拓扑、LLDP-MED拓扑、流量拓扑、数据中心拓扑、数据中心机架拓扑、IRF拓扑、MDC虚拟网络拓扑、MDC和IRF组合拓扑等多种拓扑类型；二层拓扑支持多协议，包括Bridge、NDP、CDP、MSTP、STP、LLDP、DISMAN-PING等二层协议，支持聚合链路，支持第三方的设备；拓扑可融合链路状态、设备告警等多种信息。                                                               3、支持H3C/HUAWEI/3COM/CISCO/HP设备的批量配置和软件管理，包括的软件版本和软件库中最新可用的软件，更新设备的软件。支持220+设备厂商，8000+设备款型。                                                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 xml:space="preserve">4、支持802.1x、Portal、L2TIP 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IPSec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 VPN、SSL VPN、无线等多种网络环境的身份认证，支持基于端口的802.1x和基于MAC地址的802.1x，可管理HUB或非智能交换机下的多个用户。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5、支持对接入用户实现认证、授权及日志审计，通过对用户做“web认证”，记录接入用户的访问轨迹，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实配2000个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用户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管控及日志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审计软件授权；     6、与准入控制网关为同一品牌，支持功能对接联动，终端用户可以通过WEB页面进行实名认证，业务资源访问。支持对不同人员可赋予不同的业务访问权限)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35F5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8CB7A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:rsidR="00A63FC6" w:rsidRPr="00A63FC6" w14:paraId="3694B074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49EC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B7395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上网行为管理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E05AD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CA2EC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1、配置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千兆电口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12个，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千兆光口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12个，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万兆光口4个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，USB接口1个；配置硬盘存储容量2T；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2、设备最大吞吐量≥40Gbps，最大支持并发连接数1000万，每秒新建连接数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≥60万；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3、支持与认证计费系统联动，实现用户上网行为的实名制审计；支持基于AD、PPPOE、WEB等方式的单点登录功能；支持将多个端口捆绑成一个逻辑的端口以增加带宽，同时增加链路备份；支持多链路间的负载均衡；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4、支持小时/天/周为单位的用户流量、应用流量、设备流量趋势图、列表TOP统计展示； 支持用户虚拟身份画像，以时间轴的形式展示用户上网行为轨迹； 支持单用户全天行为分析报表，一个界面同时展示用户名、用户组、在线时长、虚拟身份（如QQ号码、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微博账号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等）；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5、</w:t>
            </w:r>
            <w:proofErr w:type="spell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IPSec</w:t>
            </w:r>
            <w:proofErr w:type="spell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 xml:space="preserve"> VPN支持第三方对接和快速配置，自有设备对接时加密算法等参数无需配置，自动生成，仅需配置保护子网、共享密钥、IP地址；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 xml:space="preserve">6、具备公安部监制的计算机信息系统安全专用产品销售许可证;           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7、本次配置不低于2年特征库授权。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3936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6A1A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33852847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226E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A96A6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入侵防御系统（利旧）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24363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利旧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ED2E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安装调试，达到正常使用要求。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ACABE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08402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46EC37B0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706D5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DE775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Web应用防火墙（利旧）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53152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利旧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1EB02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安装调试，达到正常使用要求。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18BDB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F527C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3307CD80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13034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32FDA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服务器3（利旧）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ACDE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利旧</w:t>
            </w:r>
            <w:proofErr w:type="gramEnd"/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77EFC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用于安装运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维系统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+安全认证系统，配置要求：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形态：物理服务器或同等配置虚拟机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CPU：配置CPU 8核心及以上，主频2.0Ghz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及以上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内存：16G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硬盘：推荐500GB</w:t>
            </w: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以上</w:t>
            </w:r>
            <w:proofErr w:type="gramEnd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网卡：1000Mbps全双工网卡*2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>操作系统：Windows 2003/2008/2012 Server 64位版本</w:t>
            </w: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br/>
              <w:t xml:space="preserve">数据库：不需要   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F8E8C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543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:rsidR="00A63FC6" w:rsidRPr="00A63FC6" w14:paraId="568AEBED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3633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22C43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配套材料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90D23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国产定制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C8DD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上走线桥架、机柜接入电源、网线架、网线、线管、光纤跳线等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9542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9F00C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批</w:t>
            </w:r>
          </w:p>
        </w:tc>
      </w:tr>
      <w:tr w:rsidR="00A63FC6" w:rsidRPr="00A63FC6" w14:paraId="17AF605E" w14:textId="77777777" w:rsidTr="00A63FC6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CEB2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B5637" w14:textId="77777777" w:rsidR="00A63FC6" w:rsidRPr="00A63FC6" w:rsidRDefault="00A63FC6" w:rsidP="00A63FC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机柜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71D66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国产定制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FAC58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2米高， 0.8米宽 ，1米深 ，42U服务器机柜，机柜配PDU两套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38115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C1005" w14:textId="77777777" w:rsidR="00A63FC6" w:rsidRPr="00A63FC6" w:rsidRDefault="00A63FC6" w:rsidP="00A63FC6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63FC6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</w:tr>
    </w:tbl>
    <w:p w14:paraId="7CB21274" w14:textId="77777777" w:rsidR="00385AD8" w:rsidRDefault="00385AD8"/>
    <w:sectPr w:rsidR="00385AD8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865AC" w14:textId="77777777" w:rsidR="00C520D6" w:rsidRDefault="00C520D6" w:rsidP="007F5948">
      <w:r>
        <w:separator/>
      </w:r>
    </w:p>
  </w:endnote>
  <w:endnote w:type="continuationSeparator" w:id="0">
    <w:p w14:paraId="4A705285" w14:textId="77777777" w:rsidR="00C520D6" w:rsidRDefault="00C520D6" w:rsidP="007F5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76246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6FC00DC" w14:textId="6BD9E3BD" w:rsidR="007F5948" w:rsidRDefault="007F594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86E393" w14:textId="77777777" w:rsidR="007F5948" w:rsidRDefault="007F59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A17BA" w14:textId="77777777" w:rsidR="00C520D6" w:rsidRDefault="00C520D6" w:rsidP="007F5948">
      <w:r>
        <w:separator/>
      </w:r>
    </w:p>
  </w:footnote>
  <w:footnote w:type="continuationSeparator" w:id="0">
    <w:p w14:paraId="5D87AB89" w14:textId="77777777" w:rsidR="00C520D6" w:rsidRDefault="00C520D6" w:rsidP="007F59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76459" w14:textId="65DDE16E" w:rsidR="007F5948" w:rsidRDefault="007F5948">
    <w:pPr>
      <w:pStyle w:val="a3"/>
      <w:rPr>
        <w:rFonts w:hint="eastAsia"/>
      </w:rPr>
    </w:pPr>
    <w:r w:rsidRPr="007F5948">
      <w:rPr>
        <w:rFonts w:hint="eastAsia"/>
      </w:rPr>
      <w:t>宜宾屏山</w:t>
    </w:r>
    <w:proofErr w:type="gramStart"/>
    <w:r w:rsidRPr="007F5948">
      <w:rPr>
        <w:rFonts w:hint="eastAsia"/>
      </w:rPr>
      <w:t>县电子</w:t>
    </w:r>
    <w:proofErr w:type="gramEnd"/>
    <w:r w:rsidRPr="007F5948">
      <w:rPr>
        <w:rFonts w:hint="eastAsia"/>
      </w:rPr>
      <w:t>政务外网</w:t>
    </w:r>
    <w:r w:rsidRPr="007F5948">
      <w:t>IPV6改造</w:t>
    </w:r>
    <w:proofErr w:type="gramStart"/>
    <w:r w:rsidRPr="007F5948">
      <w:t>项目</w:t>
    </w:r>
    <w:r w:rsidR="00EC241E">
      <w:rPr>
        <w:rFonts w:hint="eastAsia"/>
      </w:rPr>
      <w:t>标包</w:t>
    </w:r>
    <w:proofErr w:type="gramEnd"/>
    <w:r w:rsidR="00EC241E">
      <w:rPr>
        <w:rFonts w:hint="eastAsia"/>
      </w:rPr>
      <w:t>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513"/>
    <w:rsid w:val="00385AD8"/>
    <w:rsid w:val="007A4513"/>
    <w:rsid w:val="007F5948"/>
    <w:rsid w:val="00A63FC6"/>
    <w:rsid w:val="00C520D6"/>
    <w:rsid w:val="00EC241E"/>
    <w:rsid w:val="00F1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A54E3"/>
  <w15:chartTrackingRefBased/>
  <w15:docId w15:val="{04059568-8B67-4633-AF59-761094912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59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5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59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4</cp:revision>
  <cp:lastPrinted>2022-01-04T02:09:00Z</cp:lastPrinted>
  <dcterms:created xsi:type="dcterms:W3CDTF">2021-12-31T07:17:00Z</dcterms:created>
  <dcterms:modified xsi:type="dcterms:W3CDTF">2022-01-12T07:38:00Z</dcterms:modified>
</cp:coreProperties>
</file>