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四川通发电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2"/>
          <w:szCs w:val="32"/>
        </w:rPr>
        <w:t>信股份有限公司</w:t>
      </w:r>
    </w:p>
    <w:p>
      <w:pPr>
        <w:spacing w:line="360" w:lineRule="auto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2022年经营业绩及2023年发展思路报告</w:t>
      </w:r>
    </w:p>
    <w:p>
      <w:pPr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</w:p>
    <w:p>
      <w:pPr>
        <w:spacing w:line="360" w:lineRule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各位股东：</w:t>
      </w:r>
    </w:p>
    <w:p>
      <w:pPr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2022年，</w:t>
      </w:r>
      <w:r>
        <w:rPr>
          <w:rFonts w:hint="eastAsia" w:ascii="仿宋_GB2312" w:hAnsi="仿宋_GB2312" w:eastAsia="仿宋_GB2312" w:cs="仿宋_GB2312"/>
          <w:sz w:val="28"/>
          <w:szCs w:val="28"/>
        </w:rPr>
        <w:t>在省分公司党委的坚强领导下，通发公司以习近平新时代中国特色社会主义思想为指导，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深入贯彻党的十九届历次全会和二十大会议精神，全面落实党中央“疫情要防住、经济要稳住、发展要安全”的要求和集团公司“1+9+3”新战略，</w:t>
      </w:r>
      <w:r>
        <w:rPr>
          <w:rFonts w:hint="eastAsia" w:ascii="仿宋_GB2312" w:hAnsi="仿宋_GB2312" w:eastAsia="仿宋_GB2312" w:cs="仿宋_GB2312"/>
          <w:sz w:val="28"/>
          <w:szCs w:val="28"/>
        </w:rPr>
        <w:t>认真遵循“发展、稳定、规范、转型”的工作方针，以守正、革新、提质、做实的工作态度，主动应对经济持续下行压力和疫情反复冲击影响，发展运营保稳提质，改革创新聚力赋能，全面建设走深走实，较好地完成了全年主要目标任务。</w:t>
      </w:r>
    </w:p>
    <w:p>
      <w:pPr>
        <w:spacing w:line="360" w:lineRule="auto"/>
        <w:ind w:firstLine="560" w:firstLineChars="200"/>
        <w:contextualSpacing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一、经营业绩</w:t>
      </w:r>
    </w:p>
    <w:p>
      <w:pPr>
        <w:spacing w:line="360" w:lineRule="auto"/>
        <w:ind w:firstLine="560" w:firstLineChars="200"/>
        <w:contextualSpacing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收入、利润目标任务顺利完成，收入规模同比增长，盈利能力不断提升，发展态势平稳向好。2022年实现收入6.94亿元，完成年度预算112%，同比增长26%；实现利润1222万元，完成年度预算142%，同比提升26%。整体表现较好、双指标超额完成的单位有广进、物业和招标公司。公司坚持以现金为主，持续提升管控广度、深度和力度。经营活动现金净流量达到2.57亿元，同比增长2.4%；人均利润同比增长12.3%。企业总资产达到6.35亿元，较年初减少0.25亿元，但资产结构更加优化；所有者权益达到1.07亿元，比年初增加840万元；资产负债率为83.11%，比年初下降1.91个百分点。盘活资金资产、清理报废车辆、争取政府奖励补助，全年创收942万元。</w:t>
      </w:r>
    </w:p>
    <w:p>
      <w:pPr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二、主要工作完成情况</w:t>
      </w:r>
    </w:p>
    <w:p>
      <w:pPr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（一）改革创新，企业运营稳步提升</w:t>
      </w:r>
    </w:p>
    <w:p>
      <w:pPr>
        <w:spacing w:line="360" w:lineRule="auto"/>
        <w:ind w:firstLine="560" w:firstLineChars="200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国企改革三年行动6个方面28项分解任务全面完成，现代企业制度更加成熟定型。</w:t>
      </w:r>
      <w:r>
        <w:rPr>
          <w:rFonts w:hint="eastAsia" w:ascii="仿宋_GB2312" w:hAnsi="仿宋_GB2312" w:eastAsia="仿宋_GB2312" w:cs="仿宋_GB2312"/>
          <w:kern w:val="24"/>
          <w:sz w:val="28"/>
          <w:szCs w:val="28"/>
        </w:rPr>
        <w:t>市场管理体系建设初见成效，</w:t>
      </w:r>
      <w:r>
        <w:rPr>
          <w:rFonts w:hint="eastAsia" w:ascii="仿宋_GB2312" w:hAnsi="仿宋_GB2312" w:eastAsia="仿宋_GB2312" w:cs="仿宋_GB2312"/>
          <w:color w:val="000000" w:themeColor="text1"/>
          <w:kern w:val="24"/>
          <w:sz w:val="28"/>
          <w:szCs w:val="28"/>
          <w14:textFill>
            <w14:solidFill>
              <w14:schemeClr w14:val="tx1"/>
            </w14:solidFill>
          </w14:textFill>
        </w:rPr>
        <w:t>商机储备、项目前评估、项目投标、项目过程管控、项目后评价机制管理链条基本形成。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倡导“四清晰一分明”精益管理理念，项目创效持续夯实。</w:t>
      </w:r>
      <w:r>
        <w:rPr>
          <w:rFonts w:hint="eastAsia" w:ascii="仿宋_GB2312" w:hAnsi="仿宋_GB2312" w:eastAsia="仿宋_GB2312" w:cs="仿宋_GB2312"/>
          <w:kern w:val="24"/>
          <w:sz w:val="28"/>
          <w:szCs w:val="28"/>
        </w:rPr>
        <w:t>两级人力资源管理体系深化完善，</w:t>
      </w:r>
      <w:r>
        <w:rPr>
          <w:rFonts w:hint="eastAsia" w:ascii="仿宋_GB2312" w:hAnsi="仿宋_GB2312" w:eastAsia="仿宋_GB2312" w:cs="仿宋_GB2312"/>
          <w:sz w:val="28"/>
          <w:szCs w:val="28"/>
        </w:rPr>
        <w:t>优化二级承包单元至31个，建立三级承包单元20个。推动干部选育管用链条不断完善，全年完成18名二级经理、主管主办选拔，实现35岁左右管理人员占比14.3%，管理人员常态化培训赋能147人次。</w:t>
      </w:r>
      <w:r>
        <w:rPr>
          <w:rFonts w:hint="eastAsia" w:ascii="仿宋_GB2312" w:hAnsi="仿宋_GB2312" w:eastAsia="仿宋_GB2312" w:cs="仿宋_GB2312"/>
          <w:kern w:val="24"/>
          <w:sz w:val="28"/>
          <w:szCs w:val="28"/>
        </w:rPr>
        <w:t>落实专业人才及关键岗位招聘127余人，合理压缩非关键性人员规模32%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>
      <w:pPr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（二）深耕细作，业务拓展努力前行</w:t>
      </w:r>
    </w:p>
    <w:p>
      <w:pPr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市场布局稳中蓄势。川内市场持续巩固，川外区域市场稳步扩大，已形成以四川为中心，重庆、云南、贵州为助力，多省辐射的“1+3+N”市场布局。战略产品稳中有升。通信行业领域不断巩固，石油、银行领域持续发力，军队、学校领域持续拓展，市政、房建领域有所增长，电力系统领域再添新地标。市场结构稳中提质。新增280家合作伙伴，多层次合作伙伴扩容至940家。</w:t>
      </w:r>
    </w:p>
    <w:p>
      <w:pPr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（三）深化内控，合规建设能力增强</w:t>
      </w:r>
    </w:p>
    <w:p>
      <w:pPr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严格执行董事会授权管理办法、</w:t>
      </w:r>
      <w:r>
        <w:rPr>
          <w:rFonts w:hint="eastAsia" w:ascii="仿宋_GB2312" w:hAnsi="仿宋_GB2312" w:eastAsia="仿宋_GB2312" w:cs="仿宋_GB2312"/>
          <w:sz w:val="28"/>
          <w:szCs w:val="28"/>
        </w:rPr>
        <w:t>董事会议事规则、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党委工作规则、党委会议事规则及三重一大决策要求，建立健全基础管理制度</w:t>
      </w:r>
      <w:r>
        <w:rPr>
          <w:rFonts w:hint="eastAsia" w:ascii="仿宋_GB2312" w:hAnsi="仿宋_GB2312" w:eastAsia="仿宋_GB2312" w:cs="仿宋_GB2312"/>
          <w:sz w:val="28"/>
          <w:szCs w:val="28"/>
        </w:rPr>
        <w:t>21个，促进企业强基固本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。积极配合公司股东股权转让，进一步加深业财融合，提升人力资源管理水平，</w:t>
      </w:r>
      <w:r>
        <w:rPr>
          <w:rFonts w:hint="eastAsia" w:ascii="仿宋_GB2312" w:hAnsi="仿宋_GB2312" w:eastAsia="仿宋_GB2312" w:cs="仿宋_GB2312"/>
          <w:sz w:val="28"/>
          <w:szCs w:val="28"/>
        </w:rPr>
        <w:t>推进“合规管理强化年”和严肃财经纪律“6+1”合规经营检查等工作。</w:t>
      </w:r>
    </w:p>
    <w:p>
      <w:pPr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（四）党建引领，根魂优势更加强劲</w:t>
      </w:r>
    </w:p>
    <w:p>
      <w:pPr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深入学习贯彻</w:t>
      </w:r>
      <w:r>
        <w:rPr>
          <w:rFonts w:hint="eastAsia" w:ascii="仿宋_GB2312" w:hAnsi="仿宋_GB2312" w:eastAsia="仿宋_GB2312" w:cs="仿宋_GB2312"/>
          <w:kern w:val="24"/>
          <w:sz w:val="28"/>
          <w:szCs w:val="28"/>
        </w:rPr>
        <w:t>习近平新时代中国特色社会主义思想、十九届系列全会及二十大会议精神，全面落实集团“1+9+3”新战略，</w:t>
      </w:r>
      <w:r>
        <w:rPr>
          <w:rFonts w:hint="eastAsia" w:ascii="仿宋_GB2312" w:hAnsi="仿宋_GB2312" w:eastAsia="仿宋_GB2312" w:cs="仿宋_GB2312"/>
          <w:sz w:val="28"/>
          <w:szCs w:val="28"/>
        </w:rPr>
        <w:t>抓好重点工作和主题教育任务台账落地，切实加强意识形态阵地建设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  <w:t>。</w:t>
      </w:r>
      <w:r>
        <w:rPr>
          <w:rFonts w:hint="eastAsia" w:ascii="仿宋_GB2312" w:hAnsi="仿宋_GB2312" w:eastAsia="仿宋_GB2312" w:cs="仿宋_GB2312"/>
          <w:sz w:val="28"/>
          <w:szCs w:val="28"/>
        </w:rPr>
        <w:t>坚持问题、目标和任务导向，夯实党建责任制，抓好国企党支部参与重大问题决策工作指引落实，党建与生产经营不断深度融合。持续强化廉洁风险防控、作风建设和家风建设，做好廉洁风险大排查，充分用好“四种形态”，加强监督提醒。积极推进民主管理，有力释放群团活力。</w:t>
      </w:r>
    </w:p>
    <w:p>
      <w:pPr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（五）主动担当，国企责任扎实履行</w:t>
      </w:r>
    </w:p>
    <w:p>
      <w:pPr>
        <w:spacing w:line="360" w:lineRule="auto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助力中小微企业纾困，减免租金1</w:t>
      </w:r>
      <w:r>
        <w:rPr>
          <w:rFonts w:ascii="仿宋_GB2312" w:hAnsi="仿宋_GB2312" w:eastAsia="仿宋_GB2312" w:cs="仿宋_GB2312"/>
          <w:sz w:val="28"/>
          <w:szCs w:val="28"/>
        </w:rPr>
        <w:t>03</w:t>
      </w:r>
      <w:r>
        <w:rPr>
          <w:rFonts w:hint="eastAsia" w:ascii="仿宋_GB2312" w:hAnsi="仿宋_GB2312" w:eastAsia="仿宋_GB2312" w:cs="仿宋_GB2312"/>
          <w:sz w:val="28"/>
          <w:szCs w:val="28"/>
        </w:rPr>
        <w:t>万元。助力乡村振兴，全年消费帮扶约1</w:t>
      </w:r>
      <w:r>
        <w:rPr>
          <w:rFonts w:ascii="仿宋_GB2312" w:hAnsi="仿宋_GB2312" w:eastAsia="仿宋_GB2312" w:cs="仿宋_GB2312"/>
          <w:sz w:val="28"/>
          <w:szCs w:val="28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</w:rPr>
        <w:t>万元。坚守抗疫一线，发放抗疫药品物资3</w:t>
      </w:r>
      <w:r>
        <w:rPr>
          <w:rFonts w:ascii="仿宋_GB2312" w:hAnsi="仿宋_GB2312" w:eastAsia="仿宋_GB2312" w:cs="仿宋_GB2312"/>
          <w:sz w:val="28"/>
          <w:szCs w:val="28"/>
        </w:rPr>
        <w:t>0</w:t>
      </w:r>
      <w:r>
        <w:rPr>
          <w:rFonts w:hint="eastAsia" w:ascii="仿宋_GB2312" w:hAnsi="仿宋_GB2312" w:eastAsia="仿宋_GB2312" w:cs="仿宋_GB2312"/>
          <w:sz w:val="28"/>
          <w:szCs w:val="28"/>
        </w:rPr>
        <w:t>余万元，确保疫情封控期间服务保障不间断，获得业主高度评价；干部员工积极融入社区治理，就地转化社区抗疫志愿者2</w:t>
      </w:r>
      <w:r>
        <w:rPr>
          <w:rFonts w:ascii="仿宋_GB2312" w:hAnsi="仿宋_GB2312" w:eastAsia="仿宋_GB2312" w:cs="仿宋_GB2312"/>
          <w:sz w:val="28"/>
          <w:szCs w:val="28"/>
        </w:rPr>
        <w:t>6</w:t>
      </w:r>
      <w:r>
        <w:rPr>
          <w:rFonts w:hint="eastAsia" w:ascii="仿宋_GB2312" w:hAnsi="仿宋_GB2312" w:eastAsia="仿宋_GB2312" w:cs="仿宋_GB2312"/>
          <w:sz w:val="28"/>
          <w:szCs w:val="28"/>
        </w:rPr>
        <w:t>人，齐心抗疫、共克时艰。</w:t>
      </w:r>
    </w:p>
    <w:p>
      <w:pPr>
        <w:widowControl/>
        <w:shd w:val="clear" w:color="auto" w:fill="FFFFFF"/>
        <w:spacing w:line="360" w:lineRule="auto"/>
        <w:ind w:firstLine="48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三、存在的主要问题</w:t>
      </w:r>
    </w:p>
    <w:p>
      <w:pPr>
        <w:widowControl/>
        <w:shd w:val="clear" w:color="auto" w:fill="FFFFFF"/>
        <w:spacing w:line="360" w:lineRule="auto"/>
        <w:ind w:firstLine="48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（一）党建方面。党建与经营融合深度还需加强，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党建引领基层治理水平仍待提高。</w:t>
      </w:r>
    </w:p>
    <w:p>
      <w:pPr>
        <w:widowControl/>
        <w:shd w:val="clear" w:color="auto" w:fill="FFFFFF"/>
        <w:spacing w:line="360" w:lineRule="auto"/>
        <w:ind w:firstLine="480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（二）体制机制方面。改革的系统性推进尚显不足，“</w:t>
      </w:r>
      <w:r>
        <w:rPr>
          <w:rFonts w:hint="eastAsia" w:ascii="仿宋_GB2312" w:hAnsi="仿宋_GB2312" w:eastAsia="仿宋_GB2312" w:cs="仿宋_GB2312"/>
          <w:kern w:val="24"/>
          <w:sz w:val="28"/>
          <w:szCs w:val="28"/>
        </w:rPr>
        <w:t>以市场为牵引、效益为导向、财务为核心”的制度体系仍需完善，</w:t>
      </w:r>
      <w:r>
        <w:rPr>
          <w:rFonts w:hint="eastAsia" w:ascii="仿宋_GB2312" w:hAnsi="仿宋_GB2312" w:eastAsia="仿宋_GB2312" w:cs="仿宋_GB2312"/>
          <w:sz w:val="28"/>
          <w:szCs w:val="28"/>
        </w:rPr>
        <w:t>深化改革任重道远。</w:t>
      </w:r>
    </w:p>
    <w:p>
      <w:pPr>
        <w:spacing w:line="360" w:lineRule="auto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（三）业务发展方面。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业务转型升级步伐亟待加快</w:t>
      </w:r>
      <w:r>
        <w:rPr>
          <w:rFonts w:hint="eastAsia" w:ascii="仿宋_GB2312" w:hAnsi="仿宋_GB2312" w:eastAsia="仿宋_GB2312" w:cs="仿宋_GB2312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整体盈利能力仍然偏低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>
      <w:pPr>
        <w:spacing w:line="360" w:lineRule="auto"/>
        <w:ind w:firstLine="560"/>
        <w:rPr>
          <w:rFonts w:ascii="仿宋_GB2312" w:hAnsi="仿宋_GB2312" w:eastAsia="仿宋_GB2312" w:cs="仿宋_GB2312"/>
          <w:color w:val="FF0000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（四）法治国企方面。人才队伍建设亟待提速，管理支撑和服务保障能力尚需强化，法治意识有待加强，科技创新赋能管理、抢抓数字经济发展机遇实现网络强国的能力仍显不足。</w:t>
      </w:r>
    </w:p>
    <w:p>
      <w:pPr>
        <w:tabs>
          <w:tab w:val="left" w:pos="3855"/>
        </w:tabs>
        <w:spacing w:line="360" w:lineRule="auto"/>
        <w:ind w:left="-569" w:leftChars="-271" w:firstLine="1257" w:firstLineChars="449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四、</w:t>
      </w:r>
      <w:r>
        <w:rPr>
          <w:rFonts w:hint="eastAsia" w:ascii="仿宋_GB2312" w:hAnsi="仿宋_GB2312" w:eastAsia="仿宋_GB2312" w:cs="仿宋_GB2312"/>
          <w:sz w:val="28"/>
          <w:szCs w:val="28"/>
        </w:rPr>
        <w:t>2023年发展思路和主要举措</w:t>
      </w:r>
    </w:p>
    <w:p>
      <w:pPr>
        <w:widowControl/>
        <w:shd w:val="clear" w:color="auto" w:fill="FFFFFF"/>
        <w:spacing w:line="360" w:lineRule="auto"/>
        <w:ind w:firstLine="560" w:firstLineChars="200"/>
        <w:rPr>
          <w:rFonts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（一）2023年发展思路</w:t>
      </w:r>
    </w:p>
    <w:p>
      <w:pPr>
        <w:widowControl/>
        <w:shd w:val="clear" w:color="auto" w:fill="FFFFFF"/>
        <w:spacing w:line="360" w:lineRule="auto"/>
        <w:ind w:firstLine="560" w:firstLineChars="200"/>
        <w:rPr>
          <w:rFonts w:ascii="仿宋_GB2312" w:hAnsi="仿宋_GB2312" w:eastAsia="仿宋_GB2312" w:cs="仿宋_GB2312"/>
          <w:color w:val="FF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以习近平新时代中国特色社会主义思想为指导，深入学习贯彻党的二十大和四川省经济工作会议精神，全面落实集团“1+9+3”新战略新要求，以“九个坚定不移、五个着力”为指引，认真遵循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“发展、稳定、规范、转型”指导方针，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坚持稳字当头、稳中求进工作总基调，以推动高质量发展为主题，努力推进业务体系转型升级，积极构建业务发展新格局，凭借党建引领、战略引领、总部引领、文化引领“四个引领”，把握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国企责任、成长规律、行业特点、价值统一“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四个维度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，强化项目精益管理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、法治国企建设、人才队伍建设“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三个关键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222222"/>
          <w:sz w:val="28"/>
          <w:szCs w:val="28"/>
          <w:shd w:val="clear" w:color="auto" w:fill="FFFFFF"/>
        </w:rPr>
        <w:t>持续提质增效，全面提升企业竞争力、创新力、控制力、影响力和抗风险能力，加快公司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高质量发展步伐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hd w:val="clear" w:color="auto" w:fill="FFFFFF"/>
        <w:spacing w:line="360" w:lineRule="auto"/>
        <w:ind w:firstLine="555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（二）2023年经营管理目标</w:t>
      </w:r>
    </w:p>
    <w:p>
      <w:pPr>
        <w:spacing w:line="360" w:lineRule="auto"/>
        <w:ind w:firstLine="560" w:firstLineChars="200"/>
        <w:contextualSpacing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是收入实现7.59亿元，较同期增长9.45%。加速扩大有效业务规模，持续改善业务结构，提升联通系统内业务占比，稳固通信行业外业务量；二是利润实现1296万元，盈利能力不断提升；三是现金流做到稳中有升；四是坚持改革创新与科技赋能，切实推动提质增效行动，强化合规、风险、内控体系协同运作，狠抓战略规划与文化品牌建设。</w:t>
      </w:r>
    </w:p>
    <w:p>
      <w:pPr>
        <w:spacing w:line="360" w:lineRule="auto"/>
        <w:ind w:firstLine="560" w:firstLineChars="200"/>
        <w:contextualSpacing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（三）2023年重点工作</w:t>
      </w:r>
    </w:p>
    <w:p>
      <w:pPr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</w:t>
      </w:r>
      <w:r>
        <w:rPr>
          <w:rFonts w:ascii="仿宋_GB2312" w:hAnsi="仿宋_GB2312" w:eastAsia="仿宋_GB2312" w:cs="仿宋_GB2312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sz w:val="28"/>
          <w:szCs w:val="28"/>
        </w:rPr>
        <w:t>聚焦聚力拓展市场，全力以赴稳定增长。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紧紧抓住成渝地区双城经济圈建设乘势跃升、工业化信息化深度融合、现代服务业大力发展等有利契机，抓住集团持续加大四川基础设施投资32亿的发展机遇，扩大高水平优质合作渠道，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坚持大客户战略、巩固大项目发展，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做强做优广进、物业两大支撑级业务，做大做专工程、监理、招标三大稳定级业务，做精做实系统集成类成长级业务，不断增强公司六大主业的发展韧性和安全水平。</w:t>
      </w:r>
    </w:p>
    <w:p>
      <w:pPr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</w:t>
      </w:r>
      <w:r>
        <w:rPr>
          <w:rFonts w:ascii="仿宋_GB2312" w:hAnsi="仿宋_GB2312" w:eastAsia="仿宋_GB2312" w:cs="仿宋_GB2312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sz w:val="28"/>
          <w:szCs w:val="28"/>
        </w:rPr>
        <w:t>创新驱动助力改革，持续释放发展活力。一是优化升级集中管理、分级核算的财务管理模式，以财务预算为基础，以资金管理为中心，以成本管理为重点，以预算执行考核为手段，推动财务管理智慧升级。二是持续深化两级人力资源管理体系建设，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人事三项制度改革进一步走深走实，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持续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推进人力资源信息化管理平台建设使用。</w:t>
      </w:r>
      <w:r>
        <w:rPr>
          <w:rFonts w:hint="eastAsia" w:ascii="仿宋_GB2312" w:hAnsi="仿宋_GB2312" w:eastAsia="仿宋_GB2312" w:cs="仿宋_GB2312"/>
          <w:sz w:val="28"/>
          <w:szCs w:val="28"/>
        </w:rPr>
        <w:t>三是不断完善市场管理体系，建立健全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项目全过程动态管控机制，探索开展项目后评价，坚持精益管理理念，提升项目管理创效水平，严格控制非生产性支出，坚决消灭非市场因素亏损，提高企业生存和发展能力。</w:t>
      </w:r>
    </w:p>
    <w:p>
      <w:pPr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</w:t>
      </w:r>
      <w:r>
        <w:rPr>
          <w:rFonts w:ascii="仿宋_GB2312" w:hAnsi="仿宋_GB2312" w:eastAsia="仿宋_GB2312" w:cs="仿宋_GB2312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sz w:val="28"/>
          <w:szCs w:val="28"/>
        </w:rPr>
        <w:t>强化管理防范风险，全面提升治理水平。一是严格落实企业法人主体责任，合规建设、风险管控、内控体系三位一体、同时发力，防范企业运营风险。二是坚持现金为王，加大各级现金流考核和清收清欠力度，强力治亏损、压“两金”，强化问题整改与专项督导，引导各单位主动化解风险；加强财务管理审计与税收筹划，从体制机制上杜绝资金安全等违法违规事件发生。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三是持续优化人员配置，管控总量盘活存量，推动人员优化调剂，畅通人员分流安置渠道。</w:t>
      </w:r>
      <w:r>
        <w:rPr>
          <w:rFonts w:hint="eastAsia" w:ascii="仿宋_GB2312" w:hAnsi="仿宋_GB2312" w:eastAsia="仿宋_GB2312" w:cs="仿宋_GB2312"/>
          <w:sz w:val="28"/>
          <w:szCs w:val="28"/>
        </w:rPr>
        <w:t>四是</w:t>
      </w:r>
      <w:r>
        <w:rPr>
          <w:rFonts w:hint="eastAsia" w:ascii="仿宋_GB2312" w:eastAsia="仿宋_GB2312"/>
          <w:sz w:val="28"/>
          <w:szCs w:val="28"/>
        </w:rPr>
        <w:t>不断完善覆盖全员、全方位、全过程的安全责任体系，</w:t>
      </w:r>
      <w:r>
        <w:rPr>
          <w:rFonts w:hint="eastAsia" w:ascii="仿宋_GB2312" w:hAnsi="仿宋_GB2312" w:eastAsia="仿宋_GB2312" w:cs="仿宋_GB2312"/>
          <w:sz w:val="28"/>
          <w:szCs w:val="28"/>
        </w:rPr>
        <w:t>有效防范化解重点领域安全风险。</w:t>
      </w:r>
    </w:p>
    <w:p>
      <w:pPr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</w:t>
      </w:r>
      <w:r>
        <w:rPr>
          <w:rFonts w:ascii="仿宋_GB2312" w:hAnsi="仿宋_GB2312" w:eastAsia="仿宋_GB2312" w:cs="仿宋_GB2312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sz w:val="28"/>
          <w:szCs w:val="28"/>
        </w:rPr>
        <w:t>坚定不移强化党建，筑牢高质量发展保证。持续为高质量发展把牢正确方向，持续为高质量发展建强战斗堡垒，持续为高质量发展涵养清风正气，持续为高质量发展凝聚奋进合力。</w:t>
      </w:r>
    </w:p>
    <w:p>
      <w:pPr>
        <w:spacing w:line="360" w:lineRule="auto"/>
        <w:rPr>
          <w:rFonts w:ascii="仿宋_GB2312" w:hAnsi="仿宋_GB2312" w:eastAsia="仿宋_GB2312" w:cs="仿宋_GB2312"/>
          <w:sz w:val="28"/>
          <w:szCs w:val="28"/>
        </w:rPr>
      </w:pPr>
    </w:p>
    <w:p>
      <w:pPr>
        <w:spacing w:line="360" w:lineRule="auto"/>
        <w:ind w:firstLine="4760" w:firstLineChars="17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四川通发电信股份有限公司</w:t>
      </w:r>
    </w:p>
    <w:p>
      <w:pPr>
        <w:spacing w:line="360" w:lineRule="auto"/>
        <w:ind w:firstLine="6440" w:firstLineChars="23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董事会</w:t>
      </w:r>
    </w:p>
    <w:p>
      <w:pPr>
        <w:spacing w:line="360" w:lineRule="auto"/>
        <w:ind w:firstLine="5880" w:firstLineChars="21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2023年</w:t>
      </w:r>
      <w:r>
        <w:rPr>
          <w:rFonts w:ascii="仿宋_GB2312" w:hAnsi="仿宋_GB2312" w:eastAsia="仿宋_GB2312" w:cs="仿宋_GB2312"/>
          <w:sz w:val="28"/>
          <w:szCs w:val="28"/>
        </w:rPr>
        <w:t>9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ascii="仿宋_GB2312" w:hAnsi="仿宋_GB2312" w:eastAsia="仿宋_GB2312" w:cs="仿宋_GB2312"/>
          <w:sz w:val="28"/>
          <w:szCs w:val="28"/>
        </w:rPr>
        <w:t>14</w:t>
      </w:r>
      <w:r>
        <w:rPr>
          <w:rFonts w:hint="eastAsia" w:ascii="仿宋_GB2312" w:hAnsi="仿宋_GB2312" w:eastAsia="仿宋_GB2312" w:cs="仿宋_GB2312"/>
          <w:sz w:val="28"/>
          <w:szCs w:val="28"/>
        </w:rPr>
        <w:t>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59604349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ascii="宋体" w:hAnsi="宋体" w:eastAsia="宋体" w:cs="宋体"/>
        <w:sz w:val="21"/>
        <w:szCs w:val="21"/>
      </w:rPr>
    </w:pPr>
    <w:r>
      <w:rPr>
        <w:rFonts w:hint="eastAsia" w:ascii="宋体" w:hAnsi="宋体" w:eastAsia="宋体" w:cs="宋体"/>
        <w:sz w:val="21"/>
        <w:szCs w:val="21"/>
      </w:rPr>
      <w:t>材料1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1MjhiODIzYzJiYjU0Njc5ZGE4Njk4NDVhNjZmODYifQ=="/>
  </w:docVars>
  <w:rsids>
    <w:rsidRoot w:val="00C47FD6"/>
    <w:rsid w:val="00002351"/>
    <w:rsid w:val="0001447D"/>
    <w:rsid w:val="000404F3"/>
    <w:rsid w:val="0006503A"/>
    <w:rsid w:val="00084F43"/>
    <w:rsid w:val="00085F1E"/>
    <w:rsid w:val="00091DD0"/>
    <w:rsid w:val="00093FED"/>
    <w:rsid w:val="00096D27"/>
    <w:rsid w:val="00096EDB"/>
    <w:rsid w:val="00097AB6"/>
    <w:rsid w:val="000B0D6C"/>
    <w:rsid w:val="000E7684"/>
    <w:rsid w:val="000F306D"/>
    <w:rsid w:val="001013FC"/>
    <w:rsid w:val="00104D33"/>
    <w:rsid w:val="0010613D"/>
    <w:rsid w:val="00107AE1"/>
    <w:rsid w:val="00116D60"/>
    <w:rsid w:val="00122BFA"/>
    <w:rsid w:val="00122F93"/>
    <w:rsid w:val="001245AB"/>
    <w:rsid w:val="001245FE"/>
    <w:rsid w:val="001414F1"/>
    <w:rsid w:val="001432CF"/>
    <w:rsid w:val="00145B69"/>
    <w:rsid w:val="00147E4D"/>
    <w:rsid w:val="00153E37"/>
    <w:rsid w:val="00164CE1"/>
    <w:rsid w:val="00180B37"/>
    <w:rsid w:val="00192D05"/>
    <w:rsid w:val="00192F4D"/>
    <w:rsid w:val="00194DD1"/>
    <w:rsid w:val="001A15DD"/>
    <w:rsid w:val="001A5391"/>
    <w:rsid w:val="001C2F5B"/>
    <w:rsid w:val="001D1A0D"/>
    <w:rsid w:val="001D7B4F"/>
    <w:rsid w:val="001E0E58"/>
    <w:rsid w:val="001E4EDD"/>
    <w:rsid w:val="002130DC"/>
    <w:rsid w:val="002159EC"/>
    <w:rsid w:val="00223406"/>
    <w:rsid w:val="002452F5"/>
    <w:rsid w:val="00246450"/>
    <w:rsid w:val="002544FC"/>
    <w:rsid w:val="00254D73"/>
    <w:rsid w:val="0026582F"/>
    <w:rsid w:val="00266B02"/>
    <w:rsid w:val="002674E1"/>
    <w:rsid w:val="002776BC"/>
    <w:rsid w:val="00286CFD"/>
    <w:rsid w:val="00286F9B"/>
    <w:rsid w:val="002901F3"/>
    <w:rsid w:val="002A13F5"/>
    <w:rsid w:val="002A6D95"/>
    <w:rsid w:val="002A7BFA"/>
    <w:rsid w:val="002C7432"/>
    <w:rsid w:val="002D1D08"/>
    <w:rsid w:val="00310FAF"/>
    <w:rsid w:val="003354C4"/>
    <w:rsid w:val="0033551B"/>
    <w:rsid w:val="00342C1C"/>
    <w:rsid w:val="003436ED"/>
    <w:rsid w:val="00362784"/>
    <w:rsid w:val="0036386B"/>
    <w:rsid w:val="00364202"/>
    <w:rsid w:val="00387C8A"/>
    <w:rsid w:val="003919B8"/>
    <w:rsid w:val="00391C7F"/>
    <w:rsid w:val="003962B1"/>
    <w:rsid w:val="003A1F02"/>
    <w:rsid w:val="003A40DC"/>
    <w:rsid w:val="003B74F2"/>
    <w:rsid w:val="003E5E24"/>
    <w:rsid w:val="00402641"/>
    <w:rsid w:val="0042770A"/>
    <w:rsid w:val="00455340"/>
    <w:rsid w:val="004674E2"/>
    <w:rsid w:val="00472CCA"/>
    <w:rsid w:val="004753FA"/>
    <w:rsid w:val="00483BF8"/>
    <w:rsid w:val="00485C4B"/>
    <w:rsid w:val="00497F84"/>
    <w:rsid w:val="004A1C07"/>
    <w:rsid w:val="004A2B36"/>
    <w:rsid w:val="004E2C07"/>
    <w:rsid w:val="004E4B3E"/>
    <w:rsid w:val="00502DEC"/>
    <w:rsid w:val="005051B1"/>
    <w:rsid w:val="005109D0"/>
    <w:rsid w:val="00522506"/>
    <w:rsid w:val="005229D6"/>
    <w:rsid w:val="005429F5"/>
    <w:rsid w:val="00545DD4"/>
    <w:rsid w:val="0054645A"/>
    <w:rsid w:val="005514DC"/>
    <w:rsid w:val="00552FF9"/>
    <w:rsid w:val="00556CFC"/>
    <w:rsid w:val="005636FD"/>
    <w:rsid w:val="005723F6"/>
    <w:rsid w:val="00581FB6"/>
    <w:rsid w:val="00584602"/>
    <w:rsid w:val="005949EC"/>
    <w:rsid w:val="005953A0"/>
    <w:rsid w:val="0059642E"/>
    <w:rsid w:val="005A42EB"/>
    <w:rsid w:val="005A4A90"/>
    <w:rsid w:val="005B170C"/>
    <w:rsid w:val="005C0729"/>
    <w:rsid w:val="005C1CB0"/>
    <w:rsid w:val="005C674F"/>
    <w:rsid w:val="005D64F3"/>
    <w:rsid w:val="005D683F"/>
    <w:rsid w:val="005E0CE1"/>
    <w:rsid w:val="005E1F18"/>
    <w:rsid w:val="005F2F2F"/>
    <w:rsid w:val="00600919"/>
    <w:rsid w:val="006108D9"/>
    <w:rsid w:val="00622586"/>
    <w:rsid w:val="006257BD"/>
    <w:rsid w:val="00627B63"/>
    <w:rsid w:val="006376E4"/>
    <w:rsid w:val="00642FA0"/>
    <w:rsid w:val="006552D9"/>
    <w:rsid w:val="006567F0"/>
    <w:rsid w:val="00657D43"/>
    <w:rsid w:val="00670E0F"/>
    <w:rsid w:val="0067278C"/>
    <w:rsid w:val="00674D14"/>
    <w:rsid w:val="00682893"/>
    <w:rsid w:val="00682A76"/>
    <w:rsid w:val="006D1082"/>
    <w:rsid w:val="006D2601"/>
    <w:rsid w:val="00702468"/>
    <w:rsid w:val="00703341"/>
    <w:rsid w:val="00715BFF"/>
    <w:rsid w:val="00715F20"/>
    <w:rsid w:val="00721349"/>
    <w:rsid w:val="00735596"/>
    <w:rsid w:val="00743289"/>
    <w:rsid w:val="00744F28"/>
    <w:rsid w:val="007508B9"/>
    <w:rsid w:val="00754BB7"/>
    <w:rsid w:val="00755DD0"/>
    <w:rsid w:val="00763EC4"/>
    <w:rsid w:val="00771C54"/>
    <w:rsid w:val="00792770"/>
    <w:rsid w:val="007A2F50"/>
    <w:rsid w:val="007A61CB"/>
    <w:rsid w:val="007B4624"/>
    <w:rsid w:val="007E7E73"/>
    <w:rsid w:val="007F3B5C"/>
    <w:rsid w:val="0082654C"/>
    <w:rsid w:val="00836BF7"/>
    <w:rsid w:val="008408B4"/>
    <w:rsid w:val="008577D3"/>
    <w:rsid w:val="00860BDC"/>
    <w:rsid w:val="008728AD"/>
    <w:rsid w:val="00884719"/>
    <w:rsid w:val="00887029"/>
    <w:rsid w:val="008903C9"/>
    <w:rsid w:val="008B6927"/>
    <w:rsid w:val="008B6D06"/>
    <w:rsid w:val="008D1DAF"/>
    <w:rsid w:val="008D1E17"/>
    <w:rsid w:val="008E2C64"/>
    <w:rsid w:val="008E4F6B"/>
    <w:rsid w:val="008F49D8"/>
    <w:rsid w:val="009028E2"/>
    <w:rsid w:val="00904C1D"/>
    <w:rsid w:val="00915B37"/>
    <w:rsid w:val="00915B92"/>
    <w:rsid w:val="009421DD"/>
    <w:rsid w:val="00947B48"/>
    <w:rsid w:val="009526F1"/>
    <w:rsid w:val="00954C32"/>
    <w:rsid w:val="00957578"/>
    <w:rsid w:val="009800A8"/>
    <w:rsid w:val="0099060C"/>
    <w:rsid w:val="009A5ECB"/>
    <w:rsid w:val="009B560D"/>
    <w:rsid w:val="009D3572"/>
    <w:rsid w:val="009D5E2A"/>
    <w:rsid w:val="009E6106"/>
    <w:rsid w:val="00A54133"/>
    <w:rsid w:val="00A60DF9"/>
    <w:rsid w:val="00A61DD8"/>
    <w:rsid w:val="00A7209A"/>
    <w:rsid w:val="00A74DC8"/>
    <w:rsid w:val="00AA186D"/>
    <w:rsid w:val="00AA2AE8"/>
    <w:rsid w:val="00AE5673"/>
    <w:rsid w:val="00AF66AA"/>
    <w:rsid w:val="00B00830"/>
    <w:rsid w:val="00B02208"/>
    <w:rsid w:val="00B20A8A"/>
    <w:rsid w:val="00B24AB4"/>
    <w:rsid w:val="00B301A3"/>
    <w:rsid w:val="00B34A60"/>
    <w:rsid w:val="00B40DF8"/>
    <w:rsid w:val="00B635E4"/>
    <w:rsid w:val="00B656AC"/>
    <w:rsid w:val="00B9721D"/>
    <w:rsid w:val="00BA04A1"/>
    <w:rsid w:val="00BA1759"/>
    <w:rsid w:val="00BA29BC"/>
    <w:rsid w:val="00BA4EC1"/>
    <w:rsid w:val="00BC69AC"/>
    <w:rsid w:val="00BD19DB"/>
    <w:rsid w:val="00BD63BA"/>
    <w:rsid w:val="00BE5A26"/>
    <w:rsid w:val="00BE5C14"/>
    <w:rsid w:val="00BF5A98"/>
    <w:rsid w:val="00C00DA5"/>
    <w:rsid w:val="00C03C66"/>
    <w:rsid w:val="00C316B0"/>
    <w:rsid w:val="00C34A3B"/>
    <w:rsid w:val="00C47FD6"/>
    <w:rsid w:val="00C62A55"/>
    <w:rsid w:val="00C63DD5"/>
    <w:rsid w:val="00C715FD"/>
    <w:rsid w:val="00C9316A"/>
    <w:rsid w:val="00CB0B39"/>
    <w:rsid w:val="00CB2EB4"/>
    <w:rsid w:val="00CB6E60"/>
    <w:rsid w:val="00CF028F"/>
    <w:rsid w:val="00D24F1C"/>
    <w:rsid w:val="00D42B83"/>
    <w:rsid w:val="00D6288C"/>
    <w:rsid w:val="00D6561C"/>
    <w:rsid w:val="00D72356"/>
    <w:rsid w:val="00D7621F"/>
    <w:rsid w:val="00D76C66"/>
    <w:rsid w:val="00D77B2D"/>
    <w:rsid w:val="00D94189"/>
    <w:rsid w:val="00D960F4"/>
    <w:rsid w:val="00DA2291"/>
    <w:rsid w:val="00DB55DF"/>
    <w:rsid w:val="00DC3229"/>
    <w:rsid w:val="00DC69F3"/>
    <w:rsid w:val="00DD4C25"/>
    <w:rsid w:val="00DE0F7F"/>
    <w:rsid w:val="00DE59B1"/>
    <w:rsid w:val="00DE639A"/>
    <w:rsid w:val="00DF124F"/>
    <w:rsid w:val="00DF1FDF"/>
    <w:rsid w:val="00DF71F4"/>
    <w:rsid w:val="00E0719D"/>
    <w:rsid w:val="00E127CE"/>
    <w:rsid w:val="00E16CFD"/>
    <w:rsid w:val="00E253CF"/>
    <w:rsid w:val="00E26C72"/>
    <w:rsid w:val="00E27E3F"/>
    <w:rsid w:val="00E30658"/>
    <w:rsid w:val="00E36C4E"/>
    <w:rsid w:val="00E40172"/>
    <w:rsid w:val="00E42FC2"/>
    <w:rsid w:val="00E54A2E"/>
    <w:rsid w:val="00E573E7"/>
    <w:rsid w:val="00E61B6A"/>
    <w:rsid w:val="00E728B6"/>
    <w:rsid w:val="00E775F0"/>
    <w:rsid w:val="00E7777B"/>
    <w:rsid w:val="00E82469"/>
    <w:rsid w:val="00EA729F"/>
    <w:rsid w:val="00EB2039"/>
    <w:rsid w:val="00EE30A7"/>
    <w:rsid w:val="00EE31DE"/>
    <w:rsid w:val="00EE49EE"/>
    <w:rsid w:val="00F02482"/>
    <w:rsid w:val="00F1529B"/>
    <w:rsid w:val="00F17879"/>
    <w:rsid w:val="00F33D9F"/>
    <w:rsid w:val="00F4009E"/>
    <w:rsid w:val="00F5148E"/>
    <w:rsid w:val="00F53C7E"/>
    <w:rsid w:val="00F55597"/>
    <w:rsid w:val="00F677E8"/>
    <w:rsid w:val="00F7085F"/>
    <w:rsid w:val="00F874E7"/>
    <w:rsid w:val="00F93C8A"/>
    <w:rsid w:val="00F93F4C"/>
    <w:rsid w:val="00FA2AF9"/>
    <w:rsid w:val="00FB41F2"/>
    <w:rsid w:val="00FC3A49"/>
    <w:rsid w:val="00FF6673"/>
    <w:rsid w:val="184B14B9"/>
    <w:rsid w:val="31C40CAF"/>
    <w:rsid w:val="4D5E397E"/>
    <w:rsid w:val="59D2041B"/>
    <w:rsid w:val="70374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Emphasis"/>
    <w:basedOn w:val="7"/>
    <w:qFormat/>
    <w:uiPriority w:val="20"/>
    <w:rPr>
      <w:i/>
      <w:iCs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</w:style>
  <w:style w:type="character" w:customStyle="1" w:styleId="12">
    <w:name w:val="批注框文本 字符"/>
    <w:basedOn w:val="7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2950</Words>
  <Characters>3083</Characters>
  <Lines>22</Lines>
  <Paragraphs>6</Paragraphs>
  <TotalTime>59</TotalTime>
  <ScaleCrop>false</ScaleCrop>
  <LinksUpToDate>false</LinksUpToDate>
  <CharactersWithSpaces>3083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2022-12-26T11:25:00Z</dcterms:created>
  <dc:creator>徐苏珩</dc:creator>
  <cp:lastModifiedBy>冯祎</cp:lastModifiedBy>
  <cp:lastPrinted>2023-08-29T03:23:00Z</cp:lastPrinted>
  <dcterms:modified xsi:type="dcterms:W3CDTF">2023-09-13T06:32:51Z</dcterms:modified>
  <cp:revision>441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0E7763C8862C3B070320B4639FB9B714</vt:lpwstr>
  </property>
  <property fmtid="{D5CDD505-2E9C-101B-9397-08002B2CF9AE}" pid="3" name="KSOProductBuildVer">
    <vt:lpwstr>2052-11.1.0.14309</vt:lpwstr>
  </property>
</Properties>
</file>